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both"/>
        <w:rPr>
          <w:rFonts w:ascii="Arial" w:hAnsi="Arial"/>
          <w:sz w:val="24"/>
          <w:szCs w:val="24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drawing>
          <wp:inline distT="0" distB="0" distL="0" distR="0">
            <wp:extent cx="1254789" cy="1561868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89" cy="1561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de-DE"/>
        </w:rPr>
        <w:t xml:space="preserve">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Sehr geehrte Damen und Herren,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die 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PH Selbsthilfe Deutschland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 xml:space="preserve">sucht hiermit den Kontakt zu Ihnen, um Ihre Aufmerksamkeit auf die seltene Stoffwechsel Erkrankung 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Prim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re Hyperoxalurie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(kurz: PH) zu lenken. Bei den drei Formen der PH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hrt eine zu hohe Oxalatproduktion in der Leber zur erh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hten Urinoxalatausscheidung, damit zu rezidivierenden Nierensteinen oder einer progredienten Nephrokalzinose und oft auch zum terminalen Nierenversagen. Dann steigen die Blutoxalatwerte an und Oxalat lagert sich im ganzen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rper ab.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Die PH wird trotz immer wiederkehrenden Nierensteinen und oft fortschreitender Nierenverkalkung heute immer noch bei einer Vielzahl von der Patienten nicht ad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quat diagnostiziert. Fast 40% der erwachsenen Patienten werden erst im Nierenversagen, oder nach einer fehlgeschlagenen Transplantation diagnostiziert. Eine sp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tere Problematik der Erkrankung, die sie dann zur Multisytemerkrankung werden 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sst, ist vor allem die systemische Ablagerung von Oxalat bei Patienten mit CKD. Aktuell kann kurativ nur eine Lebertransplantation bei PH I durchgef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hrt werden. Dies sollte heute bei fr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hzeitiger Diagnose und rechtzeitiger Behandlung vermeidbar sein.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Bevor ernste Symptome aufgrund der PH entstehen, kommt es bei den Betroffenen (oft schon im Kindesalter) h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ufig zur Bildung von Nierensteinen. Und hier liegt unser Ansatz, den unentdeckten Patientenanteil mit rezidivierenden Nierensteinen oder progredienter Nephrokalzinose im Erwachsenenalter, aber ohne Diagnose, deutlich zu verringern.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Wir 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chten Sie 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flichst bitten, 24 h Sammelurine oder bei Niereninsuffizienz auch Blut von Ihren Patienten mit oben aufgef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hrter Symptomatik und dem Nachweis von 100% Calcium-Oxalatsteinen (meist Monohydrat Steine) auf erh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hte Oxalat</w:t>
      </w:r>
      <w:r>
        <w:rPr>
          <w:rFonts w:ascii="Arial" w:hAnsi="Arial"/>
          <w:sz w:val="24"/>
          <w:szCs w:val="24"/>
          <w:rtl w:val="0"/>
          <w:lang w:val="de-DE"/>
        </w:rPr>
        <w:t>w</w:t>
      </w:r>
      <w:r>
        <w:rPr>
          <w:rFonts w:ascii="Arial" w:hAnsi="Arial"/>
          <w:sz w:val="24"/>
          <w:szCs w:val="24"/>
          <w:rtl w:val="0"/>
          <w:lang w:val="de-DE"/>
        </w:rPr>
        <w:t xml:space="preserve">erte hin zu untersuchen. Da die PH sich 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schleichend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 xml:space="preserve">entwickelt, sind nicht nur die aktuellen Untersuchungen von Interesse, sondern auch die aus den Jahren zuvor.   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Bei einem positiven Befund kann sich der Patient gerne bei uns (PH-Selbsthilfe.de) melden. Die weitere Vorgehensweise wird dann in einem pers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nlichen Gespr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 auch mit dem Team des deutschen Hyperoxalurie</w:t>
      </w:r>
      <w:r>
        <w:rPr>
          <w:rFonts w:ascii="Arial" w:hAnsi="Arial"/>
          <w:sz w:val="24"/>
          <w:szCs w:val="24"/>
          <w:rtl w:val="0"/>
          <w:lang w:val="de-DE"/>
        </w:rPr>
        <w:t>z</w:t>
      </w:r>
      <w:r>
        <w:rPr>
          <w:rFonts w:ascii="Arial" w:hAnsi="Arial"/>
          <w:sz w:val="24"/>
          <w:szCs w:val="24"/>
          <w:rtl w:val="0"/>
          <w:lang w:val="de-DE"/>
        </w:rPr>
        <w:t>entrums (www.hyperoxalurie-zentrum.de) besprochen.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Bald wird es neue Behandlungsm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glichkeiten, die sogenannte 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RNA Interference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Behandlung geben, die den Patienten signifikant helfen wird. Hier wird in der Leber ein spezifisches Enzym blockiert und damit die Oxalat</w:t>
      </w:r>
      <w:r>
        <w:rPr>
          <w:rFonts w:ascii="Arial" w:hAnsi="Arial"/>
          <w:sz w:val="24"/>
          <w:szCs w:val="24"/>
          <w:rtl w:val="0"/>
          <w:lang w:val="de-DE"/>
        </w:rPr>
        <w:t>p</w:t>
      </w:r>
      <w:r>
        <w:rPr>
          <w:rFonts w:ascii="Arial" w:hAnsi="Arial"/>
          <w:sz w:val="24"/>
          <w:szCs w:val="24"/>
          <w:rtl w:val="0"/>
          <w:lang w:val="de-DE"/>
        </w:rPr>
        <w:t>roduktion unterdr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ckt. Die RNAi Medikation muss in regelm</w:t>
      </w:r>
      <w:r>
        <w:rPr>
          <w:rFonts w:ascii="Arial" w:hAnsi="Arial" w:hint="default"/>
          <w:sz w:val="24"/>
          <w:szCs w:val="24"/>
          <w:rtl w:val="0"/>
          <w:lang w:val="de-DE"/>
        </w:rPr>
        <w:t>äß</w:t>
      </w:r>
      <w:r>
        <w:rPr>
          <w:rFonts w:ascii="Arial" w:hAnsi="Arial"/>
          <w:sz w:val="24"/>
          <w:szCs w:val="24"/>
          <w:rtl w:val="0"/>
          <w:lang w:val="de-DE"/>
        </w:rPr>
        <w:t>igen Abst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nden unter die Haut gespritzt werden. Es ist also keine Gentherapie, der Effekt ist passager. In klinischen Studien sind bereits hervorragende Erfolge erzielt worden, z.B. wurde die Oxalat</w:t>
      </w:r>
      <w:r>
        <w:rPr>
          <w:rFonts w:ascii="Arial" w:hAnsi="Arial"/>
          <w:sz w:val="24"/>
          <w:szCs w:val="24"/>
          <w:rtl w:val="0"/>
          <w:lang w:val="de-DE"/>
        </w:rPr>
        <w:t>a</w:t>
      </w:r>
      <w:r>
        <w:rPr>
          <w:rFonts w:ascii="Arial" w:hAnsi="Arial"/>
          <w:sz w:val="24"/>
          <w:szCs w:val="24"/>
          <w:rtl w:val="0"/>
          <w:lang w:val="de-DE"/>
        </w:rPr>
        <w:t>usscheidung wieder auf Normalwerte reduziert.</w:t>
      </w:r>
    </w:p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Wie schon erw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hnt, handelt es sich bei den Patienten nicht nur um Kinder, die Mehrzahl der bekannten Patienten sind Erwachsene. Die neusten Entwicklungen im Bereich der PH Behandlungen machen uns gro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 Hoffnungen, das eine Niereninsuffizienz oder gar eine kombinierte Leber-/Nierentransplantation verhindert werden und mit der entsprechenden Behandlung ein normales Leben gef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hrt werden kann.</w:t>
      </w:r>
    </w:p>
    <w:p>
      <w:pPr>
        <w:pStyle w:val="Normal.0"/>
        <w:spacing w:after="0" w:line="276" w:lineRule="auto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Bitte helfen Sie dabei, den noch unentdeckten Betroffenen diese Chance auf ein normales Leben zu erm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ö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glichen.</w:t>
      </w:r>
    </w:p>
    <w:p>
      <w:pPr>
        <w:pStyle w:val="Normal.0"/>
        <w:spacing w:after="0" w:line="276" w:lineRule="auto"/>
        <w:jc w:val="both"/>
        <w:rPr>
          <w:u w:val="single"/>
        </w:rPr>
      </w:pPr>
    </w:p>
    <w:p>
      <w:pPr>
        <w:pStyle w:val="Normal.0"/>
        <w:spacing w:after="0" w:line="276" w:lineRule="auto"/>
        <w:rPr>
          <w:u w:val="single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4"/>
          <w:szCs w:val="24"/>
        </w:rPr>
      </w:pPr>
      <w:r>
        <w:rPr>
          <w:rtl w:val="0"/>
        </w:rPr>
        <w:tab/>
        <w:tab/>
        <w:tab/>
        <w:tab/>
        <w:tab/>
        <w:tab/>
        <w:tab/>
        <w:t>Hochachtungsvoll</w:t>
        <w:tab/>
        <w:tab/>
        <w:tab/>
        <w:tab/>
        <w:tab/>
        <w:tab/>
        <w:tab/>
        <w:tab/>
        <w:tab/>
        <w:t>Ihre PH Selbsthilfe (info@ph-selbsthilfe.de)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spacing w:after="0" w:line="276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4"/>
          <w:szCs w:val="24"/>
        </w:rPr>
      </w:pPr>
      <w:r>
        <w:drawing>
          <wp:inline distT="0" distB="0" distL="0" distR="0">
            <wp:extent cx="1070115" cy="1331998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15" cy="1331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"http://www.ph-selbsthilfe.de"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www.ph-selbsthilfe.de</w:t>
      </w:r>
      <w:r>
        <w:rPr/>
        <w:fldChar w:fldCharType="end" w:fldLock="0"/>
      </w:r>
    </w:p>
    <w:p>
      <w:pPr>
        <w:pStyle w:val="Normal.0"/>
        <w:spacing w:after="0" w:line="276" w:lineRule="auto"/>
      </w:pPr>
      <w:r>
        <w:rPr>
          <w14:textOutline w14:w="12700" w14:cap="flat">
            <w14:noFill/>
            <w14:miter w14:lim="400000"/>
          </w14:textOutline>
        </w:rPr>
        <w:drawing>
          <wp:inline distT="0" distB="0" distL="0" distR="0">
            <wp:extent cx="1577340" cy="1340224"/>
            <wp:effectExtent l="0" t="0" r="0" b="0"/>
            <wp:docPr id="1073741827" name="officeArt object" descr="Ein Bild, das Zeichn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Zeichnung enthält.&#10;&#10;Automatisch generierte Beschreibung" descr="Ein Bild, das Zeichnung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340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"http://www.PH-Europe.net"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de-DE"/>
        </w:rPr>
        <w:t>www.PH-Europe.net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spacing w:after="0" w:line="276" w:lineRule="auto"/>
      </w:pPr>
    </w:p>
    <w:p>
      <w:pPr>
        <w:pStyle w:val="Normal.0"/>
        <w:spacing w:after="0" w:line="276" w:lineRule="auto"/>
      </w:pPr>
      <w:r>
        <w:rPr>
          <w14:textOutline w14:w="12700" w14:cap="flat">
            <w14:noFill/>
            <w14:miter w14:lim="400000"/>
          </w14:textOutline>
        </w:rPr>
        <w:drawing>
          <wp:inline distT="0" distB="0" distL="0" distR="0">
            <wp:extent cx="1684020" cy="995547"/>
            <wp:effectExtent l="0" t="0" r="0" b="0"/>
            <wp:docPr id="1073741828" name="officeArt object" descr="German Hyperoxaluria Cent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erman Hyperoxaluria Center logo.png" descr="German Hyperoxaluria Center 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5098" t="0" r="1946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995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"http://www.hyperoxalurie-zentrum.de"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de-DE"/>
        </w:rPr>
        <w:t>www.hyperoxalurie-zentrum.de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</w:p>
    <w:sectPr>
      <w:headerReference w:type="default" r:id="rId7"/>
      <w:footerReference w:type="default" r:id="rId8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